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BC7043" w14:textId="77777777" w:rsidR="00054FBD" w:rsidRDefault="00054FBD" w:rsidP="00F415F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54FBD">
        <w:rPr>
          <w:rFonts w:ascii="Times New Roman" w:hAnsi="Times New Roman" w:cs="Times New Roman"/>
          <w:sz w:val="24"/>
          <w:szCs w:val="24"/>
        </w:rPr>
        <w:t>Проект федерального закона «О внесении изменений в статью 265 части второй Налогового кодекса Российской Федерации»</w:t>
      </w:r>
    </w:p>
    <w:p w14:paraId="0F2B7CBB" w14:textId="77777777" w:rsidR="00F415F6" w:rsidRDefault="00F415F6" w:rsidP="00F415F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F415F6">
        <w:rPr>
          <w:rFonts w:ascii="Times New Roman" w:hAnsi="Times New Roman" w:cs="Times New Roman"/>
          <w:sz w:val="24"/>
          <w:szCs w:val="24"/>
        </w:rPr>
        <w:t>Проект</w:t>
      </w:r>
      <w:r>
        <w:rPr>
          <w:rFonts w:ascii="Times New Roman" w:hAnsi="Times New Roman" w:cs="Times New Roman"/>
          <w:sz w:val="24"/>
          <w:szCs w:val="24"/>
        </w:rPr>
        <w:t xml:space="preserve"> федерального закона «О внесении изменений в статью 265 части второй Налогового кодекса Российской Федерации» разработан в целях включения в законодательство нормы о формировании единого реестра некоммерческих организаций для повышения эффективности мер их государственной поддержки и налогового стимулирования, предусмотренных Федеральным законом от 08 июня 2020 г. № 172-ФЗ     «О внесении изменений в часть вторую Налогового кодекса Российской Федерации», в рамках исполнения поручений Президента Российской Федерации от 1 сентября 2020 г. № Пр-1395 и Правительства Российской Федерации от 23 июня 2020 г. № ММ-П44-6716кв.</w:t>
      </w:r>
    </w:p>
    <w:p w14:paraId="125CC2DD" w14:textId="77777777" w:rsidR="00F415F6" w:rsidRDefault="00F415F6" w:rsidP="00F415F6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подпунктом 19.6 пункта 1 статьи 256 Налогового кодекса Российской Федерации </w:t>
      </w:r>
      <w:r w:rsidR="00054FBD">
        <w:rPr>
          <w:rFonts w:ascii="Times New Roman" w:hAnsi="Times New Roman" w:cs="Times New Roman"/>
          <w:sz w:val="24"/>
          <w:szCs w:val="24"/>
        </w:rPr>
        <w:t xml:space="preserve"> юридические лица, передавшие на безвозмездной основе некоммерческим организациям имущество (включая денежные средства), могут включить в его состав внереализационных расходов при определении ими налоговой базы по налогу на прибыль организаций. При этом имущество должно быть передано некоммерческим организациям, включенным в реестр социально ориентированных некоммерческих организаций.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4FBD">
        <w:rPr>
          <w:rFonts w:ascii="Times New Roman" w:hAnsi="Times New Roman" w:cs="Times New Roman"/>
          <w:sz w:val="24"/>
          <w:szCs w:val="24"/>
        </w:rPr>
        <w:t>Порядок ведения указанного реестра устанавливается Правительством Российской Федерации.</w:t>
      </w:r>
    </w:p>
    <w:p w14:paraId="0BAC6338" w14:textId="77777777" w:rsidR="00054FBD" w:rsidRDefault="00054FBD" w:rsidP="00F415F6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6F670108" w14:textId="77777777" w:rsidR="00794C5E" w:rsidRPr="00F415F6" w:rsidRDefault="00F415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15F6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94C5E" w:rsidRPr="00F41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5F6"/>
    <w:rsid w:val="00054FBD"/>
    <w:rsid w:val="00470C9F"/>
    <w:rsid w:val="00774D60"/>
    <w:rsid w:val="00E0640A"/>
    <w:rsid w:val="00F41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21E06"/>
  <w15:docId w15:val="{6DAAA69F-3693-4179-8B77-E6D98149C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2</cp:revision>
  <dcterms:created xsi:type="dcterms:W3CDTF">2021-03-11T06:06:00Z</dcterms:created>
  <dcterms:modified xsi:type="dcterms:W3CDTF">2021-03-11T06:06:00Z</dcterms:modified>
</cp:coreProperties>
</file>